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7074366A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515F59">
        <w:rPr>
          <w:rFonts w:ascii="Arial" w:hAnsi="Arial" w:cs="Arial"/>
          <w:sz w:val="24"/>
          <w:szCs w:val="24"/>
        </w:rPr>
        <w:t>28</w:t>
      </w:r>
      <w:r w:rsidR="00296F47">
        <w:rPr>
          <w:rFonts w:ascii="Arial" w:hAnsi="Arial" w:cs="Arial"/>
          <w:sz w:val="24"/>
          <w:szCs w:val="24"/>
        </w:rPr>
        <w:t xml:space="preserve"> listopada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7A5CE53F" w14:textId="58FD8CAC" w:rsidR="00ED492C" w:rsidRPr="00515F59" w:rsidRDefault="00515F59" w:rsidP="00515F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5F59">
        <w:rPr>
          <w:rFonts w:ascii="Arial" w:hAnsi="Arial" w:cs="Arial"/>
          <w:b/>
          <w:bCs/>
          <w:sz w:val="24"/>
          <w:szCs w:val="24"/>
        </w:rPr>
        <w:t>Co oznacza zgoda na zabieg medyczny i kiedy można ją cofnąć?</w:t>
      </w:r>
    </w:p>
    <w:p w14:paraId="203578B3" w14:textId="120A9487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Zgoda pacjenta na zabieg medyczny stanowi jeden z fundamentów wykonywania zawodu lekarza i funkcjonowania ochrony zdrowia. Obowiązek uzyskania zgody wynika z zasady poszanowania autonomii pacjenta i jego prawa do decydowania o własnym zdrowiu oraz integralności cielesnej. Regulacje dotyczące zgody zostały umocowane zarówno w Konstytucji RP, jak i ustawach szczegółowych, przede wszystkim w ustawie z dnia 5 grudnia 1996 r. o zawodach lekarza i lekarza dentysty oraz w ustawie z dnia 6 listopada 2008 r. o prawach pacjenta i Rzeczniku Praw Pacjenta.</w:t>
      </w:r>
    </w:p>
    <w:p w14:paraId="7F7BD971" w14:textId="588B4DC6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Prawo do wyrażenia zgody wynika z konstytucyjnego prawa do decydowania o</w:t>
      </w:r>
      <w:r>
        <w:rPr>
          <w:rFonts w:ascii="Arial" w:hAnsi="Arial" w:cs="Arial"/>
          <w:sz w:val="24"/>
          <w:szCs w:val="24"/>
        </w:rPr>
        <w:t> </w:t>
      </w:r>
      <w:r w:rsidRPr="00515F59">
        <w:rPr>
          <w:rFonts w:ascii="Arial" w:hAnsi="Arial" w:cs="Arial"/>
          <w:sz w:val="24"/>
          <w:szCs w:val="24"/>
        </w:rPr>
        <w:t xml:space="preserve">swoim życiu osobistym (art. 47 Konstytucji RP) oraz prawa do ochrony nietykalności osobistej (art. 41 ust. 1 Konstytucji RP). W świetle prawa medycznego, żaden zabieg lub świadczenie zdrowotne nie może zostać wykonane bez zgody pacjenta </w:t>
      </w:r>
      <w:r w:rsidR="004043D4">
        <w:rPr>
          <w:rFonts w:ascii="Arial" w:hAnsi="Arial" w:cs="Arial"/>
          <w:sz w:val="24"/>
          <w:szCs w:val="24"/>
        </w:rPr>
        <w:t>-</w:t>
      </w:r>
      <w:r w:rsidRPr="00515F59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Pr="00515F59">
        <w:rPr>
          <w:rFonts w:ascii="Arial" w:hAnsi="Arial" w:cs="Arial"/>
          <w:sz w:val="24"/>
          <w:szCs w:val="24"/>
        </w:rPr>
        <w:t>wyjątkiem ściśle określonych sytuacji, jak np. stany nagłe zagrażające życiu, gdzie pacjent nie jest zdolny do jej wyrażenia.</w:t>
      </w:r>
    </w:p>
    <w:p w14:paraId="56B46E68" w14:textId="77777777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W praktyce wyróżnia się:</w:t>
      </w:r>
    </w:p>
    <w:p w14:paraId="62FC8311" w14:textId="77777777" w:rsidR="00515F59" w:rsidRPr="00515F59" w:rsidRDefault="00515F59" w:rsidP="00515F59">
      <w:pPr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zgodę ustną lub dorozumianą – stosowaną przy prostych czynnościach medycznych (np. badanie fizykalne),</w:t>
      </w:r>
    </w:p>
    <w:p w14:paraId="0C3D039D" w14:textId="77777777" w:rsidR="00515F59" w:rsidRPr="00515F59" w:rsidRDefault="00515F59" w:rsidP="00515F59">
      <w:pPr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zgodę pisemną – obowiązkową przy zabiegach operacyjnych, procedurach o podwyższonym ryzyku oraz eksperymencie medycznym,</w:t>
      </w:r>
    </w:p>
    <w:p w14:paraId="1BC048BF" w14:textId="77777777" w:rsidR="00515F59" w:rsidRPr="00515F59" w:rsidRDefault="00515F59" w:rsidP="00515F59">
      <w:pPr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zgodę świadomą (tzw. „informed consent”) – zgoda, która może być wyrażona dopiero po uzyskaniu pełnej, zrozumiałej informacji od lekarza.</w:t>
      </w:r>
    </w:p>
    <w:p w14:paraId="3AB38F65" w14:textId="77777777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Zgoda jest więc ważna wyłącznie wtedy, gdy pacjent dysponuje odpowiednią wiedzą dotyczącą planowanego zabiegu.</w:t>
      </w:r>
    </w:p>
    <w:p w14:paraId="27373A7A" w14:textId="4DDEDCF2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Aby zgoda była uznana za „świadomą”, lekarz musi przekazać pacjentowi informacje co najmniej o:</w:t>
      </w:r>
      <w:r>
        <w:rPr>
          <w:rFonts w:ascii="Arial" w:hAnsi="Arial" w:cs="Arial"/>
          <w:sz w:val="24"/>
          <w:szCs w:val="24"/>
        </w:rPr>
        <w:t xml:space="preserve"> </w:t>
      </w:r>
      <w:r w:rsidRPr="00515F59">
        <w:rPr>
          <w:rFonts w:ascii="Arial" w:hAnsi="Arial" w:cs="Arial"/>
          <w:sz w:val="24"/>
          <w:szCs w:val="24"/>
        </w:rPr>
        <w:t>rozpoznaniu choroby,</w:t>
      </w:r>
      <w:r>
        <w:rPr>
          <w:rFonts w:ascii="Arial" w:hAnsi="Arial" w:cs="Arial"/>
          <w:sz w:val="24"/>
          <w:szCs w:val="24"/>
        </w:rPr>
        <w:t xml:space="preserve"> </w:t>
      </w:r>
      <w:r w:rsidRPr="00515F59">
        <w:rPr>
          <w:rFonts w:ascii="Arial" w:hAnsi="Arial" w:cs="Arial"/>
          <w:sz w:val="24"/>
          <w:szCs w:val="24"/>
        </w:rPr>
        <w:t>proponowanych metodach leczenia,</w:t>
      </w:r>
      <w:r>
        <w:rPr>
          <w:rFonts w:ascii="Arial" w:hAnsi="Arial" w:cs="Arial"/>
          <w:sz w:val="24"/>
          <w:szCs w:val="24"/>
        </w:rPr>
        <w:t xml:space="preserve"> </w:t>
      </w:r>
      <w:r w:rsidRPr="00515F59">
        <w:rPr>
          <w:rFonts w:ascii="Arial" w:hAnsi="Arial" w:cs="Arial"/>
          <w:sz w:val="24"/>
          <w:szCs w:val="24"/>
        </w:rPr>
        <w:t>możliwych alternatywach,</w:t>
      </w:r>
      <w:r>
        <w:rPr>
          <w:rFonts w:ascii="Arial" w:hAnsi="Arial" w:cs="Arial"/>
          <w:sz w:val="24"/>
          <w:szCs w:val="24"/>
        </w:rPr>
        <w:t xml:space="preserve"> </w:t>
      </w:r>
      <w:r w:rsidRPr="00515F59">
        <w:rPr>
          <w:rFonts w:ascii="Arial" w:hAnsi="Arial" w:cs="Arial"/>
          <w:sz w:val="24"/>
          <w:szCs w:val="24"/>
        </w:rPr>
        <w:t>następstwach zaniechania leczenia,</w:t>
      </w:r>
      <w:r>
        <w:rPr>
          <w:rFonts w:ascii="Arial" w:hAnsi="Arial" w:cs="Arial"/>
          <w:sz w:val="24"/>
          <w:szCs w:val="24"/>
        </w:rPr>
        <w:t xml:space="preserve"> </w:t>
      </w:r>
      <w:r w:rsidRPr="00515F59">
        <w:rPr>
          <w:rFonts w:ascii="Arial" w:hAnsi="Arial" w:cs="Arial"/>
          <w:sz w:val="24"/>
          <w:szCs w:val="24"/>
        </w:rPr>
        <w:t>ryzyku zabiegu, zwłaszcza powikłaniach typowych i najczęstszych</w:t>
      </w:r>
      <w:r>
        <w:rPr>
          <w:rFonts w:ascii="Arial" w:hAnsi="Arial" w:cs="Arial"/>
          <w:sz w:val="24"/>
          <w:szCs w:val="24"/>
        </w:rPr>
        <w:t xml:space="preserve"> czy </w:t>
      </w:r>
      <w:r w:rsidRPr="00515F59">
        <w:rPr>
          <w:rFonts w:ascii="Arial" w:hAnsi="Arial" w:cs="Arial"/>
          <w:sz w:val="24"/>
          <w:szCs w:val="24"/>
        </w:rPr>
        <w:t>rokowaniu.</w:t>
      </w:r>
    </w:p>
    <w:p w14:paraId="0CCB0F26" w14:textId="79CF1164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Udzielona zgoda bez przedstawienia tych informacji jest prawnie nieskuteczna, a wykonanie zabiegu może być potraktowane jako naruszenie praw pacjenta, a nawet jako przestępstwo naruszenia nietykalności lub spowodowania uszczerbku na zdrowiu.</w:t>
      </w:r>
    </w:p>
    <w:p w14:paraId="52997014" w14:textId="17DB3599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Zgodnie z art. 34 ustawy o zawodach lekarza, zabieg operacyjny oraz inne metody leczenia lub diagnostyki stwarzające podwyższone ryzyko wymagają pisemnej zgody pacjenta. W dokumentacji medycznej powinno znaleźć się także potwierdzenie przekazania informacji.</w:t>
      </w:r>
    </w:p>
    <w:p w14:paraId="17523F2F" w14:textId="5D52290D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515F59">
        <w:rPr>
          <w:rFonts w:ascii="Arial" w:hAnsi="Arial" w:cs="Arial"/>
          <w:sz w:val="24"/>
          <w:szCs w:val="24"/>
        </w:rPr>
        <w:t>Mimo zasadniczego znaczenia zgody, prawo przewiduje wyjątki. Najważniejsze z nich to:</w:t>
      </w:r>
    </w:p>
    <w:p w14:paraId="494EA3F3" w14:textId="77777777" w:rsidR="00515F59" w:rsidRPr="00515F59" w:rsidRDefault="00515F59" w:rsidP="00515F59">
      <w:pPr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stan zagrożenia życia lub zdrowia, w którym pacjent jest nieprzytomny lub niezdolny do wyrażenia zgody, a zabieg jest konieczny dla ratowania życia lub zdrowia,</w:t>
      </w:r>
    </w:p>
    <w:p w14:paraId="68F46BC1" w14:textId="77777777" w:rsidR="00515F59" w:rsidRPr="00515F59" w:rsidRDefault="00515F59" w:rsidP="00515F59">
      <w:pPr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zabiegi wykonywane na podstawie decyzji sądu, np. w przypadku małoletnich lub osób całkowicie ubezwłasnowolnionych, gdy przedstawiciel ustawowy nie wyraża zgody, a zabieg jest konieczny,</w:t>
      </w:r>
    </w:p>
    <w:p w14:paraId="03D6BA16" w14:textId="77777777" w:rsidR="00515F59" w:rsidRPr="00515F59" w:rsidRDefault="00515F59" w:rsidP="00515F59">
      <w:pPr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przymusowe leczenie psychiatryczne w szczegółowo określonych w ustawie przypadkach.</w:t>
      </w:r>
    </w:p>
    <w:p w14:paraId="5EB38E83" w14:textId="33FDBBE7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Polskie prawo przyznaje pacjentowi pełne prawo do zmiany decyzji. Zgoda na zabieg może zostać cofnięta w każdym momencie, aż do rozpoczęcia konkretnej czynności medycznej. Wynika to bezpośrednio z zasady autonomii pacjenta oraz treści art. 16 ustawy o prawach pacjenta.</w:t>
      </w:r>
    </w:p>
    <w:p w14:paraId="296F0FA2" w14:textId="77777777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Cofnięcie zgody:</w:t>
      </w:r>
    </w:p>
    <w:p w14:paraId="24B77DBD" w14:textId="77777777" w:rsidR="00515F59" w:rsidRPr="00515F59" w:rsidRDefault="00515F59" w:rsidP="00515F59">
      <w:pPr>
        <w:numPr>
          <w:ilvl w:val="0"/>
          <w:numId w:val="68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nie wymaga podania przyczyny,</w:t>
      </w:r>
    </w:p>
    <w:p w14:paraId="2E5F84DE" w14:textId="77777777" w:rsidR="00515F59" w:rsidRPr="00515F59" w:rsidRDefault="00515F59" w:rsidP="00515F59">
      <w:pPr>
        <w:numPr>
          <w:ilvl w:val="0"/>
          <w:numId w:val="68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może mieć formę ustną lub pisemną (dla celów dowodowych zaleca się formę pisemną),</w:t>
      </w:r>
    </w:p>
    <w:p w14:paraId="2178FDE2" w14:textId="77777777" w:rsidR="00515F59" w:rsidRPr="00515F59" w:rsidRDefault="00515F59" w:rsidP="00515F59">
      <w:pPr>
        <w:numPr>
          <w:ilvl w:val="0"/>
          <w:numId w:val="68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staje się natychmiast skuteczne,</w:t>
      </w:r>
    </w:p>
    <w:p w14:paraId="39B09AA6" w14:textId="77777777" w:rsidR="00515F59" w:rsidRPr="00515F59" w:rsidRDefault="00515F59" w:rsidP="00515F59">
      <w:pPr>
        <w:numPr>
          <w:ilvl w:val="0"/>
          <w:numId w:val="68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uniemożliwia wykonanie dalszych procedur.</w:t>
      </w:r>
    </w:p>
    <w:p w14:paraId="22091848" w14:textId="30815BD9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Sytuacja komplikuje się w przypadku cofnięcia zgody w trakcie procedury medycznej — zwłaszcza operacji. Zgodnie z praktyką i orzecznictwem:</w:t>
      </w:r>
    </w:p>
    <w:p w14:paraId="51F55746" w14:textId="77777777" w:rsidR="00515F59" w:rsidRPr="00515F59" w:rsidRDefault="00515F59" w:rsidP="00515F59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jeśli przerwanie zabiegu stworzyłoby poważne ryzyko dla życia lub zdrowia pacjenta, lekarz ma obowiązek kontynuować procedurę, kierując się nadrzędną zasadą ratowania życia,</w:t>
      </w:r>
    </w:p>
    <w:p w14:paraId="4C21FF75" w14:textId="77777777" w:rsidR="00515F59" w:rsidRPr="00515F59" w:rsidRDefault="00515F59" w:rsidP="00515F59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jeśli dalsze działania nie są konieczne, a zaprzestanie zabiegu nie wywoła negatywnych konsekwencji, lekarz powinien odstąpić od działania.</w:t>
      </w:r>
    </w:p>
    <w:p w14:paraId="077302A3" w14:textId="77777777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W przypadku pacjentów reprezentowanych przez przedstawicieli ustawowych:</w:t>
      </w:r>
    </w:p>
    <w:p w14:paraId="6238ECF9" w14:textId="77777777" w:rsidR="00515F59" w:rsidRPr="00515F59" w:rsidRDefault="00515F59" w:rsidP="00515F59">
      <w:pPr>
        <w:numPr>
          <w:ilvl w:val="0"/>
          <w:numId w:val="70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zgodę może cofnąć przedstawiciel ustawowy,</w:t>
      </w:r>
    </w:p>
    <w:p w14:paraId="3CE7EA6B" w14:textId="77777777" w:rsidR="00515F59" w:rsidRPr="00515F59" w:rsidRDefault="00515F59" w:rsidP="00515F59">
      <w:pPr>
        <w:numPr>
          <w:ilvl w:val="0"/>
          <w:numId w:val="70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jeżeli pacjent ukończył 16 lat, jego zdanie powinno być uwzględnione; w razie konfliktu możliwe jest odwołanie do sądu opiekuńczego,</w:t>
      </w:r>
    </w:p>
    <w:p w14:paraId="2818DC2C" w14:textId="77777777" w:rsidR="00515F59" w:rsidRPr="00515F59" w:rsidRDefault="00515F59" w:rsidP="00515F59">
      <w:pPr>
        <w:numPr>
          <w:ilvl w:val="0"/>
          <w:numId w:val="70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lekarz może zwrócić się do sądu także wtedy, gdy cofnięcie zgody zagraża zdrowiu lub życiu pacjenta.</w:t>
      </w:r>
    </w:p>
    <w:p w14:paraId="5CC33A88" w14:textId="6DAD6F64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</w:p>
    <w:p w14:paraId="6ECC5937" w14:textId="77777777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lastRenderedPageBreak/>
        <w:t>Wykonanie zabiegu bez zgody lub mimo jej cofnięcia stanowi:</w:t>
      </w:r>
    </w:p>
    <w:p w14:paraId="30878E2A" w14:textId="77777777" w:rsidR="00515F59" w:rsidRPr="00515F59" w:rsidRDefault="00515F59" w:rsidP="00515F59">
      <w:pPr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naruszenie prawa pacjenta,</w:t>
      </w:r>
    </w:p>
    <w:p w14:paraId="5B65AC69" w14:textId="77777777" w:rsidR="00515F59" w:rsidRPr="00515F59" w:rsidRDefault="00515F59" w:rsidP="00515F59">
      <w:pPr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515F59">
        <w:rPr>
          <w:rFonts w:ascii="Arial" w:hAnsi="Arial" w:cs="Arial"/>
          <w:sz w:val="24"/>
          <w:szCs w:val="24"/>
        </w:rPr>
        <w:t>naruszenie dóbr osobistych (nietykalności cielesnej).</w:t>
      </w:r>
    </w:p>
    <w:p w14:paraId="08EAA020" w14:textId="6AB898F6" w:rsidR="00515F59" w:rsidRPr="00515F59" w:rsidRDefault="00515F59" w:rsidP="00515F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5F59">
        <w:rPr>
          <w:rFonts w:ascii="Arial" w:hAnsi="Arial" w:cs="Arial"/>
          <w:sz w:val="24"/>
          <w:szCs w:val="24"/>
        </w:rPr>
        <w:t>Zgoda na zabieg medyczny to nieformalny gest, ale precyzyjnie określona prawem instytucja służąca ochronie autonomii pacjenta. Aby była ważna, musi być poprzedzona rzetelną informacją i wyrażona w formie odpowiedniej dla rodzaju świadczenia.</w:t>
      </w:r>
      <w:r>
        <w:rPr>
          <w:rFonts w:ascii="Arial" w:hAnsi="Arial" w:cs="Arial"/>
          <w:sz w:val="24"/>
          <w:szCs w:val="24"/>
        </w:rPr>
        <w:t xml:space="preserve"> </w:t>
      </w:r>
      <w:r w:rsidRPr="00515F59">
        <w:rPr>
          <w:rFonts w:ascii="Arial" w:hAnsi="Arial" w:cs="Arial"/>
          <w:sz w:val="24"/>
          <w:szCs w:val="24"/>
        </w:rPr>
        <w:t>Co kluczowe — zgoda nie jest decyzją ostateczną. Pacjent ma pełne prawo ją cofnąć, a lekarz musi tę decyzję uszanować, chyba że kontynuowanie nagłego zabiegu jest konieczne dla ratowania życia lub zdrowia.</w:t>
      </w:r>
      <w:r>
        <w:rPr>
          <w:rFonts w:ascii="Arial" w:hAnsi="Arial" w:cs="Arial"/>
          <w:sz w:val="24"/>
          <w:szCs w:val="24"/>
        </w:rPr>
        <w:t xml:space="preserve"> </w:t>
      </w:r>
      <w:r w:rsidRPr="00515F59">
        <w:rPr>
          <w:rFonts w:ascii="Arial" w:hAnsi="Arial" w:cs="Arial"/>
          <w:sz w:val="24"/>
          <w:szCs w:val="24"/>
        </w:rPr>
        <w:t>Mechanizm cofnięcia zgody podkreśla, że ostateczna kontrola nad własnym ciałem i leczeniem należy do pacjenta, a lekarz, choć dysponuje wiedzą i doświadczeniem, działa jedynie za zgodą osoby, której zdrowia dotyczy interwencja.</w:t>
      </w:r>
    </w:p>
    <w:p w14:paraId="7402B74A" w14:textId="77777777" w:rsidR="007A4F2C" w:rsidRPr="00310A64" w:rsidRDefault="007A4F2C" w:rsidP="00310A64">
      <w:pPr>
        <w:jc w:val="both"/>
        <w:rPr>
          <w:rFonts w:ascii="Arial" w:hAnsi="Arial" w:cs="Arial"/>
          <w:sz w:val="24"/>
          <w:szCs w:val="24"/>
        </w:rPr>
      </w:pP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8FB8" w14:textId="77777777" w:rsidR="00AE7A0A" w:rsidRDefault="00AE7A0A" w:rsidP="00965A5F">
      <w:pPr>
        <w:spacing w:after="0" w:line="240" w:lineRule="auto"/>
      </w:pPr>
      <w:r>
        <w:separator/>
      </w:r>
    </w:p>
  </w:endnote>
  <w:endnote w:type="continuationSeparator" w:id="0">
    <w:p w14:paraId="03DE66EF" w14:textId="77777777" w:rsidR="00AE7A0A" w:rsidRDefault="00AE7A0A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B201" w14:textId="77777777" w:rsidR="00AE7A0A" w:rsidRDefault="00AE7A0A" w:rsidP="00965A5F">
      <w:pPr>
        <w:spacing w:after="0" w:line="240" w:lineRule="auto"/>
      </w:pPr>
      <w:r>
        <w:separator/>
      </w:r>
    </w:p>
  </w:footnote>
  <w:footnote w:type="continuationSeparator" w:id="0">
    <w:p w14:paraId="38FE1B16" w14:textId="77777777" w:rsidR="00AE7A0A" w:rsidRDefault="00AE7A0A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43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95pt;height:59.9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683"/>
    <w:multiLevelType w:val="multilevel"/>
    <w:tmpl w:val="0D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03E13"/>
    <w:multiLevelType w:val="multilevel"/>
    <w:tmpl w:val="56F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2519C2"/>
    <w:multiLevelType w:val="multilevel"/>
    <w:tmpl w:val="AA6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E40E4"/>
    <w:multiLevelType w:val="multilevel"/>
    <w:tmpl w:val="53E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A7DCE"/>
    <w:multiLevelType w:val="multilevel"/>
    <w:tmpl w:val="4B7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9374F"/>
    <w:multiLevelType w:val="multilevel"/>
    <w:tmpl w:val="3E7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F3691F"/>
    <w:multiLevelType w:val="multilevel"/>
    <w:tmpl w:val="17A4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B4497F"/>
    <w:multiLevelType w:val="multilevel"/>
    <w:tmpl w:val="BE2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CD43B1"/>
    <w:multiLevelType w:val="multilevel"/>
    <w:tmpl w:val="29CC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E617BA"/>
    <w:multiLevelType w:val="multilevel"/>
    <w:tmpl w:val="DBFE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54678E"/>
    <w:multiLevelType w:val="multilevel"/>
    <w:tmpl w:val="E548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8E18E0"/>
    <w:multiLevelType w:val="multilevel"/>
    <w:tmpl w:val="EF48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284A8D"/>
    <w:multiLevelType w:val="multilevel"/>
    <w:tmpl w:val="A2C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423E7D"/>
    <w:multiLevelType w:val="multilevel"/>
    <w:tmpl w:val="2928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DD2B15"/>
    <w:multiLevelType w:val="multilevel"/>
    <w:tmpl w:val="21E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7E04E1"/>
    <w:multiLevelType w:val="multilevel"/>
    <w:tmpl w:val="D070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313C8C"/>
    <w:multiLevelType w:val="multilevel"/>
    <w:tmpl w:val="F2C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9860DF"/>
    <w:multiLevelType w:val="multilevel"/>
    <w:tmpl w:val="3E42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4"/>
  </w:num>
  <w:num w:numId="2" w16cid:durableId="1213811931">
    <w:abstractNumId w:val="37"/>
  </w:num>
  <w:num w:numId="3" w16cid:durableId="455222665">
    <w:abstractNumId w:val="31"/>
  </w:num>
  <w:num w:numId="4" w16cid:durableId="2017147699">
    <w:abstractNumId w:val="44"/>
  </w:num>
  <w:num w:numId="5" w16cid:durableId="810951206">
    <w:abstractNumId w:val="38"/>
  </w:num>
  <w:num w:numId="6" w16cid:durableId="860361570">
    <w:abstractNumId w:val="48"/>
  </w:num>
  <w:num w:numId="7" w16cid:durableId="221138008">
    <w:abstractNumId w:val="39"/>
  </w:num>
  <w:num w:numId="8" w16cid:durableId="1442410410">
    <w:abstractNumId w:val="18"/>
  </w:num>
  <w:num w:numId="9" w16cid:durableId="217860266">
    <w:abstractNumId w:val="9"/>
  </w:num>
  <w:num w:numId="10" w16cid:durableId="1764454325">
    <w:abstractNumId w:val="53"/>
  </w:num>
  <w:num w:numId="11" w16cid:durableId="736435546">
    <w:abstractNumId w:val="33"/>
  </w:num>
  <w:num w:numId="12" w16cid:durableId="1406804154">
    <w:abstractNumId w:val="2"/>
  </w:num>
  <w:num w:numId="13" w16cid:durableId="1233615674">
    <w:abstractNumId w:val="69"/>
  </w:num>
  <w:num w:numId="14" w16cid:durableId="2031836469">
    <w:abstractNumId w:val="22"/>
  </w:num>
  <w:num w:numId="15" w16cid:durableId="454981011">
    <w:abstractNumId w:val="11"/>
  </w:num>
  <w:num w:numId="16" w16cid:durableId="534469745">
    <w:abstractNumId w:val="43"/>
  </w:num>
  <w:num w:numId="17" w16cid:durableId="1271355562">
    <w:abstractNumId w:val="16"/>
  </w:num>
  <w:num w:numId="18" w16cid:durableId="160001468">
    <w:abstractNumId w:val="41"/>
  </w:num>
  <w:num w:numId="19" w16cid:durableId="1918203768">
    <w:abstractNumId w:val="7"/>
  </w:num>
  <w:num w:numId="20" w16cid:durableId="748574694">
    <w:abstractNumId w:val="64"/>
  </w:num>
  <w:num w:numId="21" w16cid:durableId="1551653049">
    <w:abstractNumId w:val="61"/>
  </w:num>
  <w:num w:numId="22" w16cid:durableId="591276517">
    <w:abstractNumId w:val="3"/>
  </w:num>
  <w:num w:numId="23" w16cid:durableId="952709750">
    <w:abstractNumId w:val="72"/>
  </w:num>
  <w:num w:numId="24" w16cid:durableId="1160270667">
    <w:abstractNumId w:val="13"/>
  </w:num>
  <w:num w:numId="25" w16cid:durableId="562908705">
    <w:abstractNumId w:val="52"/>
  </w:num>
  <w:num w:numId="26" w16cid:durableId="361634083">
    <w:abstractNumId w:val="68"/>
  </w:num>
  <w:num w:numId="27" w16cid:durableId="1084690793">
    <w:abstractNumId w:val="6"/>
  </w:num>
  <w:num w:numId="28" w16cid:durableId="2025132789">
    <w:abstractNumId w:val="12"/>
  </w:num>
  <w:num w:numId="29" w16cid:durableId="724833186">
    <w:abstractNumId w:val="70"/>
  </w:num>
  <w:num w:numId="30" w16cid:durableId="3476672">
    <w:abstractNumId w:val="55"/>
  </w:num>
  <w:num w:numId="31" w16cid:durableId="1108624326">
    <w:abstractNumId w:val="47"/>
  </w:num>
  <w:num w:numId="32" w16cid:durableId="1081023142">
    <w:abstractNumId w:val="40"/>
  </w:num>
  <w:num w:numId="33" w16cid:durableId="300842061">
    <w:abstractNumId w:val="5"/>
  </w:num>
  <w:num w:numId="34" w16cid:durableId="1613168938">
    <w:abstractNumId w:val="60"/>
  </w:num>
  <w:num w:numId="35" w16cid:durableId="190387632">
    <w:abstractNumId w:val="49"/>
  </w:num>
  <w:num w:numId="36" w16cid:durableId="997810670">
    <w:abstractNumId w:val="27"/>
  </w:num>
  <w:num w:numId="37" w16cid:durableId="918171111">
    <w:abstractNumId w:val="21"/>
  </w:num>
  <w:num w:numId="38" w16cid:durableId="1549998275">
    <w:abstractNumId w:val="29"/>
  </w:num>
  <w:num w:numId="39" w16cid:durableId="906917393">
    <w:abstractNumId w:val="23"/>
  </w:num>
  <w:num w:numId="40" w16cid:durableId="2042975932">
    <w:abstractNumId w:val="20"/>
  </w:num>
  <w:num w:numId="41" w16cid:durableId="1324897799">
    <w:abstractNumId w:val="10"/>
  </w:num>
  <w:num w:numId="42" w16cid:durableId="80420048">
    <w:abstractNumId w:val="14"/>
  </w:num>
  <w:num w:numId="43" w16cid:durableId="697316455">
    <w:abstractNumId w:val="0"/>
  </w:num>
  <w:num w:numId="44" w16cid:durableId="1513912034">
    <w:abstractNumId w:val="54"/>
  </w:num>
  <w:num w:numId="45" w16cid:durableId="1611088222">
    <w:abstractNumId w:val="4"/>
  </w:num>
  <w:num w:numId="46" w16cid:durableId="951322508">
    <w:abstractNumId w:val="32"/>
  </w:num>
  <w:num w:numId="47" w16cid:durableId="427433955">
    <w:abstractNumId w:val="36"/>
  </w:num>
  <w:num w:numId="48" w16cid:durableId="656037332">
    <w:abstractNumId w:val="73"/>
  </w:num>
  <w:num w:numId="49" w16cid:durableId="153300590">
    <w:abstractNumId w:val="66"/>
  </w:num>
  <w:num w:numId="50" w16cid:durableId="945116884">
    <w:abstractNumId w:val="57"/>
  </w:num>
  <w:num w:numId="51" w16cid:durableId="1832603878">
    <w:abstractNumId w:val="50"/>
  </w:num>
  <w:num w:numId="52" w16cid:durableId="2038576091">
    <w:abstractNumId w:val="19"/>
  </w:num>
  <w:num w:numId="53" w16cid:durableId="654262908">
    <w:abstractNumId w:val="65"/>
  </w:num>
  <w:num w:numId="54" w16cid:durableId="14428496">
    <w:abstractNumId w:val="35"/>
  </w:num>
  <w:num w:numId="55" w16cid:durableId="328367364">
    <w:abstractNumId w:val="17"/>
  </w:num>
  <w:num w:numId="56" w16cid:durableId="1877814671">
    <w:abstractNumId w:val="42"/>
  </w:num>
  <w:num w:numId="57" w16cid:durableId="2072996755">
    <w:abstractNumId w:val="1"/>
  </w:num>
  <w:num w:numId="58" w16cid:durableId="925112741">
    <w:abstractNumId w:val="26"/>
  </w:num>
  <w:num w:numId="59" w16cid:durableId="1305503263">
    <w:abstractNumId w:val="51"/>
  </w:num>
  <w:num w:numId="60" w16cid:durableId="168300422">
    <w:abstractNumId w:val="63"/>
  </w:num>
  <w:num w:numId="61" w16cid:durableId="1812475990">
    <w:abstractNumId w:val="30"/>
  </w:num>
  <w:num w:numId="62" w16cid:durableId="36203331">
    <w:abstractNumId w:val="71"/>
  </w:num>
  <w:num w:numId="63" w16cid:durableId="1350640173">
    <w:abstractNumId w:val="28"/>
  </w:num>
  <w:num w:numId="64" w16cid:durableId="2140344304">
    <w:abstractNumId w:val="45"/>
  </w:num>
  <w:num w:numId="65" w16cid:durableId="1033117424">
    <w:abstractNumId w:val="62"/>
  </w:num>
  <w:num w:numId="66" w16cid:durableId="2123500460">
    <w:abstractNumId w:val="15"/>
  </w:num>
  <w:num w:numId="67" w16cid:durableId="350496584">
    <w:abstractNumId w:val="58"/>
  </w:num>
  <w:num w:numId="68" w16cid:durableId="551886189">
    <w:abstractNumId w:val="25"/>
  </w:num>
  <w:num w:numId="69" w16cid:durableId="952245998">
    <w:abstractNumId w:val="8"/>
  </w:num>
  <w:num w:numId="70" w16cid:durableId="1416054344">
    <w:abstractNumId w:val="34"/>
  </w:num>
  <w:num w:numId="71" w16cid:durableId="115763252">
    <w:abstractNumId w:val="67"/>
  </w:num>
  <w:num w:numId="72" w16cid:durableId="2090497401">
    <w:abstractNumId w:val="59"/>
  </w:num>
  <w:num w:numId="73" w16cid:durableId="262421279">
    <w:abstractNumId w:val="56"/>
  </w:num>
  <w:num w:numId="74" w16cid:durableId="63629997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96AD2"/>
    <w:rsid w:val="001A2788"/>
    <w:rsid w:val="001B5056"/>
    <w:rsid w:val="001F23CD"/>
    <w:rsid w:val="00210B1A"/>
    <w:rsid w:val="00281A9B"/>
    <w:rsid w:val="00296F47"/>
    <w:rsid w:val="002A1951"/>
    <w:rsid w:val="002B62AA"/>
    <w:rsid w:val="002B6B75"/>
    <w:rsid w:val="002F4390"/>
    <w:rsid w:val="00304F09"/>
    <w:rsid w:val="00310A64"/>
    <w:rsid w:val="00317246"/>
    <w:rsid w:val="00334927"/>
    <w:rsid w:val="00391BFE"/>
    <w:rsid w:val="00401C97"/>
    <w:rsid w:val="004043D4"/>
    <w:rsid w:val="00411B3C"/>
    <w:rsid w:val="00412B11"/>
    <w:rsid w:val="004C318A"/>
    <w:rsid w:val="004F4A65"/>
    <w:rsid w:val="00515F59"/>
    <w:rsid w:val="005416B6"/>
    <w:rsid w:val="00541B6A"/>
    <w:rsid w:val="005632AD"/>
    <w:rsid w:val="00564FE4"/>
    <w:rsid w:val="00567569"/>
    <w:rsid w:val="00593389"/>
    <w:rsid w:val="005E3B93"/>
    <w:rsid w:val="005F4B6E"/>
    <w:rsid w:val="005F6A80"/>
    <w:rsid w:val="0060545F"/>
    <w:rsid w:val="00613B27"/>
    <w:rsid w:val="00673650"/>
    <w:rsid w:val="00686A13"/>
    <w:rsid w:val="00686D20"/>
    <w:rsid w:val="006B135F"/>
    <w:rsid w:val="006B5C55"/>
    <w:rsid w:val="006E5BAD"/>
    <w:rsid w:val="00712271"/>
    <w:rsid w:val="00712B70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519F6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AE7A0A"/>
    <w:rsid w:val="00B43E77"/>
    <w:rsid w:val="00B457D8"/>
    <w:rsid w:val="00B45FA0"/>
    <w:rsid w:val="00B52A4B"/>
    <w:rsid w:val="00B90A25"/>
    <w:rsid w:val="00B9502F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ED492C"/>
    <w:rsid w:val="00F4024A"/>
    <w:rsid w:val="00F57CD4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51</cp:revision>
  <cp:lastPrinted>2025-02-04T09:35:00Z</cp:lastPrinted>
  <dcterms:created xsi:type="dcterms:W3CDTF">2025-02-03T09:41:00Z</dcterms:created>
  <dcterms:modified xsi:type="dcterms:W3CDTF">2025-11-28T15:23:00Z</dcterms:modified>
</cp:coreProperties>
</file>