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1453C868" w:rsidR="000D7EBC" w:rsidRDefault="00965A5F" w:rsidP="00310A64">
      <w:pPr>
        <w:jc w:val="right"/>
        <w:rPr>
          <w:rFonts w:ascii="Arial" w:hAnsi="Arial" w:cs="Arial"/>
          <w:sz w:val="24"/>
          <w:szCs w:val="24"/>
        </w:rPr>
      </w:pPr>
      <w:r w:rsidRPr="007A4F2C">
        <w:rPr>
          <w:rFonts w:ascii="Arial" w:hAnsi="Arial" w:cs="Arial"/>
          <w:sz w:val="24"/>
          <w:szCs w:val="24"/>
        </w:rPr>
        <w:t xml:space="preserve">Kazimierz Dolny, </w:t>
      </w:r>
      <w:r w:rsidR="00296F47">
        <w:rPr>
          <w:rFonts w:ascii="Arial" w:hAnsi="Arial" w:cs="Arial"/>
          <w:sz w:val="24"/>
          <w:szCs w:val="24"/>
        </w:rPr>
        <w:t>6 listopada</w:t>
      </w:r>
      <w:r w:rsidRPr="007A4F2C">
        <w:rPr>
          <w:rFonts w:ascii="Arial" w:hAnsi="Arial" w:cs="Arial"/>
          <w:sz w:val="24"/>
          <w:szCs w:val="24"/>
        </w:rPr>
        <w:t xml:space="preserve"> 2025 r.</w:t>
      </w:r>
    </w:p>
    <w:p w14:paraId="09455A20" w14:textId="77777777" w:rsidR="00310A64" w:rsidRPr="00310A64" w:rsidRDefault="00310A64" w:rsidP="00310A64">
      <w:pPr>
        <w:jc w:val="right"/>
        <w:rPr>
          <w:rFonts w:ascii="Arial" w:hAnsi="Arial" w:cs="Arial"/>
          <w:sz w:val="24"/>
          <w:szCs w:val="24"/>
        </w:rPr>
      </w:pPr>
    </w:p>
    <w:p w14:paraId="32153455" w14:textId="751B9E64" w:rsidR="00296F47" w:rsidRDefault="00593389" w:rsidP="00310A64">
      <w:pPr>
        <w:spacing w:before="100" w:beforeAutospacing="1" w:after="100" w:afterAutospacing="1" w:line="240" w:lineRule="auto"/>
        <w:ind w:firstLine="708"/>
        <w:jc w:val="both"/>
        <w:rPr>
          <w:rFonts w:ascii="Arial" w:hAnsi="Arial" w:cs="Arial"/>
          <w:b/>
          <w:bCs/>
          <w:sz w:val="24"/>
          <w:szCs w:val="24"/>
        </w:rPr>
      </w:pPr>
      <w:r>
        <w:rPr>
          <w:rFonts w:ascii="Arial" w:hAnsi="Arial" w:cs="Arial"/>
          <w:b/>
          <w:bCs/>
          <w:sz w:val="24"/>
          <w:szCs w:val="24"/>
        </w:rPr>
        <w:t>Z</w:t>
      </w:r>
      <w:r w:rsidR="00296F47" w:rsidRPr="00296F47">
        <w:rPr>
          <w:rFonts w:ascii="Arial" w:hAnsi="Arial" w:cs="Arial"/>
          <w:b/>
          <w:bCs/>
          <w:sz w:val="24"/>
          <w:szCs w:val="24"/>
        </w:rPr>
        <w:t>asiłek pogrzebowy od 1 stycznia 2026 r. – najważniejsze zmiany, podstawa prawna, praktyczne skutki</w:t>
      </w:r>
    </w:p>
    <w:p w14:paraId="135E0B6A" w14:textId="70C45D7E" w:rsidR="00F4024A" w:rsidRPr="00F4024A" w:rsidRDefault="00F4024A" w:rsidP="00F4024A">
      <w:pPr>
        <w:ind w:firstLine="708"/>
        <w:jc w:val="both"/>
        <w:rPr>
          <w:rFonts w:ascii="Arial" w:hAnsi="Arial" w:cs="Arial"/>
          <w:sz w:val="24"/>
          <w:szCs w:val="24"/>
        </w:rPr>
      </w:pPr>
      <w:r w:rsidRPr="00F4024A">
        <w:rPr>
          <w:rFonts w:ascii="Arial" w:hAnsi="Arial" w:cs="Arial"/>
          <w:sz w:val="24"/>
          <w:szCs w:val="24"/>
        </w:rPr>
        <w:t xml:space="preserve">Od 1 stycznia 2026 r. zasiłek pogrzebowy wzrasta z 4 000 zł do 7 000 zł. Jest to pierwsza podwyżka od 2011 r. (wówczas ustalono stałą kwotę 4 000 zł). Zmianę wprowadziła ustawa z 9 maja 2025 r. o zmianie ustawy o emeryturach i rentach z FUS oraz niektórych innych ustaw (Dz.U. 2025 poz. 718), która nadała nowe brzmienie art. 80 ustawy emerytalnej. </w:t>
      </w:r>
    </w:p>
    <w:p w14:paraId="0D68998A" w14:textId="15F1F6C8" w:rsidR="00F4024A" w:rsidRPr="00F4024A" w:rsidRDefault="00F4024A" w:rsidP="00F4024A">
      <w:pPr>
        <w:jc w:val="both"/>
        <w:rPr>
          <w:rFonts w:ascii="Arial" w:hAnsi="Arial" w:cs="Arial"/>
          <w:b/>
          <w:bCs/>
          <w:sz w:val="24"/>
          <w:szCs w:val="24"/>
        </w:rPr>
      </w:pPr>
      <w:r w:rsidRPr="00F4024A">
        <w:rPr>
          <w:rFonts w:ascii="Arial" w:hAnsi="Arial" w:cs="Arial"/>
          <w:b/>
          <w:bCs/>
          <w:sz w:val="24"/>
          <w:szCs w:val="24"/>
        </w:rPr>
        <w:t>Waloryzacja od 1 marca – mechanizm i próg</w:t>
      </w:r>
    </w:p>
    <w:p w14:paraId="00D6E9F3" w14:textId="08BB7E80" w:rsidR="00F4024A" w:rsidRPr="00F4024A" w:rsidRDefault="00F4024A" w:rsidP="00F4024A">
      <w:pPr>
        <w:jc w:val="both"/>
        <w:rPr>
          <w:rFonts w:ascii="Arial" w:hAnsi="Arial" w:cs="Arial"/>
          <w:sz w:val="24"/>
          <w:szCs w:val="24"/>
        </w:rPr>
      </w:pPr>
      <w:r w:rsidRPr="00F4024A">
        <w:rPr>
          <w:rFonts w:ascii="Arial" w:hAnsi="Arial" w:cs="Arial"/>
          <w:sz w:val="24"/>
          <w:szCs w:val="24"/>
        </w:rPr>
        <w:t xml:space="preserve">Nowy art. 80 ustawy emerytalnej przewiduje waloryzację zasiłku </w:t>
      </w:r>
      <w:r w:rsidRPr="00F4024A">
        <w:rPr>
          <w:rFonts w:ascii="Arial" w:hAnsi="Arial" w:cs="Arial"/>
          <w:b/>
          <w:bCs/>
          <w:sz w:val="24"/>
          <w:szCs w:val="24"/>
        </w:rPr>
        <w:t>co roku od 1 marca</w:t>
      </w:r>
      <w:r w:rsidRPr="00F4024A">
        <w:rPr>
          <w:rFonts w:ascii="Arial" w:hAnsi="Arial" w:cs="Arial"/>
          <w:sz w:val="24"/>
          <w:szCs w:val="24"/>
        </w:rPr>
        <w:t xml:space="preserve">, ale tylko wtedy, gdy </w:t>
      </w:r>
      <w:r w:rsidRPr="00F4024A">
        <w:rPr>
          <w:rFonts w:ascii="Arial" w:hAnsi="Arial" w:cs="Arial"/>
          <w:b/>
          <w:bCs/>
          <w:sz w:val="24"/>
          <w:szCs w:val="24"/>
        </w:rPr>
        <w:t>wskaźnik waloryzacji</w:t>
      </w:r>
      <w:r w:rsidRPr="00F4024A">
        <w:rPr>
          <w:rFonts w:ascii="Arial" w:hAnsi="Arial" w:cs="Arial"/>
          <w:sz w:val="24"/>
          <w:szCs w:val="24"/>
        </w:rPr>
        <w:t xml:space="preserve"> (średnioroczna inflacja ogółem ogłoszona przez Prezesa GUS w „Monitorze Polskim”) </w:t>
      </w:r>
      <w:r w:rsidRPr="00F4024A">
        <w:rPr>
          <w:rFonts w:ascii="Arial" w:hAnsi="Arial" w:cs="Arial"/>
          <w:b/>
          <w:bCs/>
          <w:sz w:val="24"/>
          <w:szCs w:val="24"/>
        </w:rPr>
        <w:t>przekroczy 105</w:t>
      </w:r>
      <w:r w:rsidRPr="00F4024A">
        <w:rPr>
          <w:rFonts w:ascii="Arial" w:hAnsi="Arial" w:cs="Arial"/>
          <w:sz w:val="24"/>
          <w:szCs w:val="24"/>
        </w:rPr>
        <w:t xml:space="preserve">. Waloryzacja polega na pomnożeniu kwoty zasiłku przez wskaźnik i zaokrągleniu do pełnych złotych w górę. Prezes ZUS ogłasza nową kwotę w „Monitorze Polskim” najpóźniej 7 dni roboczych przed terminem waloryzacji. </w:t>
      </w:r>
    </w:p>
    <w:p w14:paraId="709571D6" w14:textId="46B92C0A" w:rsidR="00F4024A" w:rsidRPr="00F4024A" w:rsidRDefault="00F4024A" w:rsidP="00F4024A">
      <w:pPr>
        <w:jc w:val="both"/>
        <w:rPr>
          <w:rFonts w:ascii="Arial" w:hAnsi="Arial" w:cs="Arial"/>
          <w:b/>
          <w:bCs/>
          <w:sz w:val="24"/>
          <w:szCs w:val="24"/>
        </w:rPr>
      </w:pPr>
      <w:r w:rsidRPr="00F4024A">
        <w:rPr>
          <w:rFonts w:ascii="Arial" w:hAnsi="Arial" w:cs="Arial"/>
          <w:b/>
          <w:bCs/>
          <w:sz w:val="24"/>
          <w:szCs w:val="24"/>
        </w:rPr>
        <w:t>Zasada „kwota z dnia śmierci” i przepisy przejściowe</w:t>
      </w:r>
    </w:p>
    <w:p w14:paraId="303D05D8" w14:textId="22D50456" w:rsidR="00F4024A" w:rsidRPr="00F4024A" w:rsidRDefault="00F4024A" w:rsidP="00F4024A">
      <w:pPr>
        <w:jc w:val="both"/>
        <w:rPr>
          <w:rFonts w:ascii="Arial" w:hAnsi="Arial" w:cs="Arial"/>
          <w:sz w:val="24"/>
          <w:szCs w:val="24"/>
        </w:rPr>
      </w:pPr>
      <w:r w:rsidRPr="00F4024A">
        <w:rPr>
          <w:rFonts w:ascii="Arial" w:hAnsi="Arial" w:cs="Arial"/>
          <w:sz w:val="24"/>
          <w:szCs w:val="24"/>
        </w:rPr>
        <w:t xml:space="preserve">Kluczowa dla praktyki jest reguła: zasiłek przysługuje w wysokości obowiązującej w dniu śmierci osoby, po której poniesiono koszty pogrzebu (art. 80 ust. 7 ustawy emerytalnej po nowelizacji). Oznacza to, że zgony do 31.12.2025 r. – co do zasady – uprawniają do 4 000 zł, a zgony od 1.01.2026 r. – do 7 000 zł (z uwzględnieniem szczegółowych sytuacji w przepisach sektorowych i podziale kosztów). </w:t>
      </w:r>
    </w:p>
    <w:p w14:paraId="5813F182" w14:textId="6192C5FA" w:rsidR="00F4024A" w:rsidRPr="00F4024A" w:rsidRDefault="00F4024A" w:rsidP="00F4024A">
      <w:pPr>
        <w:jc w:val="both"/>
        <w:rPr>
          <w:rFonts w:ascii="Arial" w:hAnsi="Arial" w:cs="Arial"/>
          <w:b/>
          <w:bCs/>
          <w:sz w:val="24"/>
          <w:szCs w:val="24"/>
        </w:rPr>
      </w:pPr>
      <w:r w:rsidRPr="00F4024A">
        <w:rPr>
          <w:rFonts w:ascii="Arial" w:hAnsi="Arial" w:cs="Arial"/>
          <w:b/>
          <w:bCs/>
          <w:sz w:val="24"/>
          <w:szCs w:val="24"/>
        </w:rPr>
        <w:t>Krąg uprawnionych i podział zasiłku (bez zmian co do zasady)</w:t>
      </w:r>
    </w:p>
    <w:p w14:paraId="1024F267" w14:textId="56C1E03C" w:rsidR="00F4024A" w:rsidRPr="00F4024A" w:rsidRDefault="00F4024A" w:rsidP="00F4024A">
      <w:pPr>
        <w:jc w:val="both"/>
        <w:rPr>
          <w:rFonts w:ascii="Arial" w:hAnsi="Arial" w:cs="Arial"/>
          <w:sz w:val="24"/>
          <w:szCs w:val="24"/>
        </w:rPr>
      </w:pPr>
      <w:r w:rsidRPr="00F4024A">
        <w:rPr>
          <w:rFonts w:ascii="Arial" w:hAnsi="Arial" w:cs="Arial"/>
          <w:sz w:val="24"/>
          <w:szCs w:val="24"/>
        </w:rPr>
        <w:t xml:space="preserve">Zasiłek przysługuje temu, kto faktycznie pokrył koszty pogrzebu osoby ubezpieczonej (pracownik, emeryt, rencista) lub członka jej rodziny. Członkom najbliższej rodziny co do zasady należy się pełna kwota (od 2026 r. – 7 000 zł) niezależnie od poniesionych kosztów; innym osobom/podmiotom – do wysokości udokumentowanych wydatków, nie więcej niż ustawowy limit. Gdy koszty poniosło kilka osób/podmiotów, ZUS dzieli zasiłek proporcjonalnie do udziału w kosztach. </w:t>
      </w:r>
    </w:p>
    <w:p w14:paraId="66823A35" w14:textId="77777777" w:rsidR="00F4024A" w:rsidRPr="00F4024A" w:rsidRDefault="00F4024A" w:rsidP="00F4024A">
      <w:pPr>
        <w:numPr>
          <w:ilvl w:val="0"/>
          <w:numId w:val="57"/>
        </w:numPr>
        <w:jc w:val="both"/>
        <w:rPr>
          <w:rFonts w:ascii="Arial" w:hAnsi="Arial" w:cs="Arial"/>
          <w:sz w:val="24"/>
          <w:szCs w:val="24"/>
        </w:rPr>
      </w:pPr>
      <w:r w:rsidRPr="00F4024A">
        <w:rPr>
          <w:rFonts w:ascii="Arial" w:hAnsi="Arial" w:cs="Arial"/>
          <w:sz w:val="24"/>
          <w:szCs w:val="24"/>
        </w:rPr>
        <w:t>co do zasady ustalenie prawa i wysokości zasiłku nie wymaga decyzji; decyzję wydaje się m.in. przy podziale między kilka osób/podmiotów albo gdy koszty poniosła osoba spoza kręgu wskazanego w ustawie,</w:t>
      </w:r>
    </w:p>
    <w:p w14:paraId="2CFFFBE4" w14:textId="77777777" w:rsidR="00F4024A" w:rsidRPr="00F4024A" w:rsidRDefault="00F4024A" w:rsidP="00F4024A">
      <w:pPr>
        <w:numPr>
          <w:ilvl w:val="0"/>
          <w:numId w:val="57"/>
        </w:numPr>
        <w:jc w:val="both"/>
        <w:rPr>
          <w:rFonts w:ascii="Arial" w:hAnsi="Arial" w:cs="Arial"/>
          <w:sz w:val="24"/>
          <w:szCs w:val="24"/>
        </w:rPr>
      </w:pPr>
      <w:r w:rsidRPr="00F4024A">
        <w:rPr>
          <w:rFonts w:ascii="Arial" w:hAnsi="Arial" w:cs="Arial"/>
          <w:sz w:val="24"/>
          <w:szCs w:val="24"/>
        </w:rPr>
        <w:t>termin wypłaty skrócono: jeżeli nie trzeba wydawać decyzji – 14 dni od wyjaśnienia ostatniej okoliczności; gdy decyzja jest konieczna – również 14 dni na wydanie decyzji i wypłatę,</w:t>
      </w:r>
    </w:p>
    <w:p w14:paraId="736F1E3C" w14:textId="77777777" w:rsidR="00F4024A" w:rsidRPr="00F4024A" w:rsidRDefault="00F4024A" w:rsidP="00F4024A">
      <w:pPr>
        <w:numPr>
          <w:ilvl w:val="0"/>
          <w:numId w:val="57"/>
        </w:numPr>
        <w:jc w:val="both"/>
        <w:rPr>
          <w:rFonts w:ascii="Arial" w:hAnsi="Arial" w:cs="Arial"/>
          <w:sz w:val="24"/>
          <w:szCs w:val="24"/>
        </w:rPr>
      </w:pPr>
      <w:r w:rsidRPr="00F4024A">
        <w:rPr>
          <w:rFonts w:ascii="Arial" w:hAnsi="Arial" w:cs="Arial"/>
          <w:sz w:val="24"/>
          <w:szCs w:val="24"/>
        </w:rPr>
        <w:t>wniosek można złożyć bezpośrednio w ZUS lub za pośrednictwem zakładu pogrzebowego,</w:t>
      </w:r>
    </w:p>
    <w:p w14:paraId="08E7DDC9" w14:textId="7AD9033C" w:rsidR="00F4024A" w:rsidRPr="00F4024A" w:rsidRDefault="00F4024A" w:rsidP="00F4024A">
      <w:pPr>
        <w:numPr>
          <w:ilvl w:val="0"/>
          <w:numId w:val="57"/>
        </w:numPr>
        <w:jc w:val="both"/>
        <w:rPr>
          <w:rFonts w:ascii="Arial" w:hAnsi="Arial" w:cs="Arial"/>
          <w:sz w:val="24"/>
          <w:szCs w:val="24"/>
        </w:rPr>
      </w:pPr>
      <w:r w:rsidRPr="00F4024A">
        <w:rPr>
          <w:rFonts w:ascii="Arial" w:hAnsi="Arial" w:cs="Arial"/>
          <w:sz w:val="24"/>
          <w:szCs w:val="24"/>
        </w:rPr>
        <w:lastRenderedPageBreak/>
        <w:t xml:space="preserve">możliwa jest wypłata bezgotówkowa w całości albo w części na rachunek zakładu pogrzebowego wskazany w upoważnieniu. </w:t>
      </w:r>
    </w:p>
    <w:p w14:paraId="42341068" w14:textId="02258E40" w:rsidR="00F4024A" w:rsidRPr="00F4024A" w:rsidRDefault="00F4024A" w:rsidP="00F4024A">
      <w:pPr>
        <w:jc w:val="both"/>
        <w:rPr>
          <w:rFonts w:ascii="Arial" w:hAnsi="Arial" w:cs="Arial"/>
          <w:b/>
          <w:bCs/>
          <w:sz w:val="24"/>
          <w:szCs w:val="24"/>
        </w:rPr>
      </w:pPr>
      <w:r w:rsidRPr="00F4024A">
        <w:rPr>
          <w:rFonts w:ascii="Arial" w:hAnsi="Arial" w:cs="Arial"/>
          <w:b/>
          <w:bCs/>
          <w:sz w:val="24"/>
          <w:szCs w:val="24"/>
        </w:rPr>
        <w:t>Nowy zasiłek celowy z pomocy społecznej (uzupełniający)</w:t>
      </w:r>
    </w:p>
    <w:p w14:paraId="62663BF2" w14:textId="548F10B4" w:rsidR="00F4024A" w:rsidRPr="00F4024A" w:rsidRDefault="00F4024A" w:rsidP="00F4024A">
      <w:pPr>
        <w:jc w:val="both"/>
        <w:rPr>
          <w:rFonts w:ascii="Arial" w:hAnsi="Arial" w:cs="Arial"/>
          <w:sz w:val="24"/>
          <w:szCs w:val="24"/>
        </w:rPr>
      </w:pPr>
      <w:r w:rsidRPr="00F4024A">
        <w:rPr>
          <w:rFonts w:ascii="Arial" w:hAnsi="Arial" w:cs="Arial"/>
          <w:sz w:val="24"/>
          <w:szCs w:val="24"/>
        </w:rPr>
        <w:t xml:space="preserve">Do ustawy o pomocy społecznej dodano możliwość przyznania zasiłku celowego na pokrycie uzasadnionych i udokumentowanych kosztów pogrzebu osobie, która je poniosła, gdy: (1) po zmarłym nie przysługuje zasiłek pogrzebowy albo (2) koszty są nadzwyczajne i nie mieszczą się w kwocie zasiłku pogrzebowego. Świadczenie to jest niezależne od dochodu, ale przewidziano mechanizmy zwrotu (np. z masy spadkowej lub gdy wypłacono inne świadczenia). </w:t>
      </w:r>
    </w:p>
    <w:p w14:paraId="665257C5" w14:textId="47C69874" w:rsidR="00F4024A" w:rsidRPr="00F4024A" w:rsidRDefault="00F4024A" w:rsidP="00F4024A">
      <w:pPr>
        <w:jc w:val="both"/>
        <w:rPr>
          <w:rFonts w:ascii="Arial" w:hAnsi="Arial" w:cs="Arial"/>
          <w:b/>
          <w:bCs/>
          <w:sz w:val="24"/>
          <w:szCs w:val="24"/>
        </w:rPr>
      </w:pPr>
      <w:r w:rsidRPr="00F4024A">
        <w:rPr>
          <w:rFonts w:ascii="Arial" w:hAnsi="Arial" w:cs="Arial"/>
          <w:b/>
          <w:bCs/>
          <w:sz w:val="24"/>
          <w:szCs w:val="24"/>
        </w:rPr>
        <w:t>Dokumenty i terminy – o czym pamiętać w praktyce</w:t>
      </w:r>
    </w:p>
    <w:p w14:paraId="7FFDFF6C" w14:textId="77777777" w:rsidR="00F4024A" w:rsidRPr="00F4024A" w:rsidRDefault="00F4024A" w:rsidP="00F4024A">
      <w:pPr>
        <w:numPr>
          <w:ilvl w:val="0"/>
          <w:numId w:val="58"/>
        </w:numPr>
        <w:jc w:val="both"/>
        <w:rPr>
          <w:rFonts w:ascii="Arial" w:hAnsi="Arial" w:cs="Arial"/>
          <w:sz w:val="24"/>
          <w:szCs w:val="24"/>
        </w:rPr>
      </w:pPr>
      <w:r w:rsidRPr="00F4024A">
        <w:rPr>
          <w:rFonts w:ascii="Arial" w:hAnsi="Arial" w:cs="Arial"/>
          <w:sz w:val="24"/>
          <w:szCs w:val="24"/>
        </w:rPr>
        <w:t>Wniosek Z-12 można złożyć w ZUS (osobiście, pocztą, przez PUE/</w:t>
      </w:r>
      <w:proofErr w:type="spellStart"/>
      <w:r w:rsidRPr="00F4024A">
        <w:rPr>
          <w:rFonts w:ascii="Arial" w:hAnsi="Arial" w:cs="Arial"/>
          <w:sz w:val="24"/>
          <w:szCs w:val="24"/>
        </w:rPr>
        <w:t>eZUS</w:t>
      </w:r>
      <w:proofErr w:type="spellEnd"/>
      <w:r w:rsidRPr="00F4024A">
        <w:rPr>
          <w:rFonts w:ascii="Arial" w:hAnsi="Arial" w:cs="Arial"/>
          <w:sz w:val="24"/>
          <w:szCs w:val="24"/>
        </w:rPr>
        <w:t>) lub przez upoważniony zakład pogrzebowy. Dołącza się m.in. odpis skrócony aktu zgonu, dowody pokrewieństwa (gdy wnioskodawca jest członkiem rodziny), rachunki potwierdzające koszty (oryginały lub kopie potwierdzone przez bank), ewentualne zaświadczenia płatnika składek.</w:t>
      </w:r>
    </w:p>
    <w:p w14:paraId="4E3CD0CA" w14:textId="28D37A81" w:rsidR="00F4024A" w:rsidRPr="00F4024A" w:rsidRDefault="00F4024A" w:rsidP="00F4024A">
      <w:pPr>
        <w:numPr>
          <w:ilvl w:val="0"/>
          <w:numId w:val="58"/>
        </w:numPr>
        <w:jc w:val="both"/>
        <w:rPr>
          <w:rFonts w:ascii="Arial" w:hAnsi="Arial" w:cs="Arial"/>
          <w:sz w:val="24"/>
          <w:szCs w:val="24"/>
        </w:rPr>
      </w:pPr>
      <w:r w:rsidRPr="00F4024A">
        <w:rPr>
          <w:rFonts w:ascii="Arial" w:hAnsi="Arial" w:cs="Arial"/>
          <w:sz w:val="24"/>
          <w:szCs w:val="24"/>
        </w:rPr>
        <w:t xml:space="preserve">Zasadniczy termin na złożenie wniosku: 12 miesięcy od dnia śmierci (lub od dnia pogrzebu – gdy wystąpiły przeszkody jak opóźniona identyfikacja; wtedy trzeba dołączyć dokument potwierdzający przyczynę opóźnienia). </w:t>
      </w:r>
    </w:p>
    <w:p w14:paraId="7402B74A" w14:textId="77777777" w:rsidR="007A4F2C" w:rsidRPr="00310A64" w:rsidRDefault="007A4F2C" w:rsidP="00310A64">
      <w:pPr>
        <w:jc w:val="both"/>
        <w:rPr>
          <w:rFonts w:ascii="Arial" w:hAnsi="Arial" w:cs="Arial"/>
          <w:sz w:val="24"/>
          <w:szCs w:val="24"/>
        </w:rPr>
      </w:pPr>
    </w:p>
    <w:p w14:paraId="3F856C59" w14:textId="28CECA18" w:rsidR="000D7EBC" w:rsidRPr="007A4F2C" w:rsidRDefault="000D7EBC" w:rsidP="000D7EBC">
      <w:pPr>
        <w:ind w:firstLine="360"/>
        <w:jc w:val="both"/>
        <w:rPr>
          <w:rFonts w:ascii="Arial" w:hAnsi="Arial" w:cs="Arial"/>
          <w:sz w:val="24"/>
          <w:szCs w:val="24"/>
        </w:rPr>
      </w:pPr>
    </w:p>
    <w:p w14:paraId="2BE17765" w14:textId="4B77FBA8" w:rsidR="00965A5F" w:rsidRPr="007A4F2C" w:rsidRDefault="00965A5F" w:rsidP="000D7EBC">
      <w:pPr>
        <w:spacing w:line="360" w:lineRule="auto"/>
        <w:ind w:left="3540" w:firstLine="708"/>
        <w:jc w:val="both"/>
        <w:rPr>
          <w:rFonts w:ascii="Arial" w:eastAsia="Calibri" w:hAnsi="Arial" w:cs="Arial"/>
          <w:sz w:val="24"/>
          <w:szCs w:val="24"/>
        </w:rPr>
      </w:pPr>
      <w:r w:rsidRPr="007A4F2C">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A4F2C"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A4F2C">
        <w:rPr>
          <w:rFonts w:ascii="Arial" w:eastAsia="Times New Roman" w:hAnsi="Arial" w:cs="Arial"/>
          <w:color w:val="333333"/>
          <w:kern w:val="0"/>
          <w:sz w:val="24"/>
          <w:szCs w:val="24"/>
          <w:lang w:eastAsia="pl-PL"/>
          <w14:ligatures w14:val="none"/>
        </w:rPr>
        <w:t>Radca prawny Dagna Kozub</w:t>
      </w:r>
    </w:p>
    <w:p w14:paraId="6FE4C78F" w14:textId="77777777" w:rsidR="005F6A80" w:rsidRPr="007A4F2C" w:rsidRDefault="005F6A80" w:rsidP="007205BE">
      <w:pPr>
        <w:jc w:val="both"/>
        <w:rPr>
          <w:rFonts w:ascii="Arial" w:hAnsi="Arial" w:cs="Arial"/>
          <w:sz w:val="24"/>
          <w:szCs w:val="24"/>
        </w:rPr>
      </w:pPr>
    </w:p>
    <w:sectPr w:rsidR="005F6A80" w:rsidRPr="007A4F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4450" w14:textId="77777777" w:rsidR="00712B70" w:rsidRDefault="00712B70" w:rsidP="00965A5F">
      <w:pPr>
        <w:spacing w:after="0" w:line="240" w:lineRule="auto"/>
      </w:pPr>
      <w:r>
        <w:separator/>
      </w:r>
    </w:p>
  </w:endnote>
  <w:endnote w:type="continuationSeparator" w:id="0">
    <w:p w14:paraId="7E0AB6D5" w14:textId="77777777" w:rsidR="00712B70" w:rsidRDefault="00712B70"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F7C2" w14:textId="77777777" w:rsidR="00712B70" w:rsidRDefault="00712B70" w:rsidP="00965A5F">
      <w:pPr>
        <w:spacing w:after="0" w:line="240" w:lineRule="auto"/>
      </w:pPr>
      <w:r>
        <w:separator/>
      </w:r>
    </w:p>
  </w:footnote>
  <w:footnote w:type="continuationSeparator" w:id="0">
    <w:p w14:paraId="50107582" w14:textId="77777777" w:rsidR="00712B70" w:rsidRDefault="00712B70"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F4024A">
      <w:rPr>
        <w:rFonts w:ascii="Calibri" w:eastAsia="Calibri" w:hAnsi="Calibri" w:cs="Times New Roman"/>
        <w:noProof/>
        <w:kern w:val="0"/>
        <w:sz w:val="20"/>
        <w:szCs w:val="20"/>
        <w14:ligatures w14:val="none"/>
      </w:rPr>
      <w:fldChar w:fldCharType="begin"/>
    </w:r>
    <w:r w:rsidR="00F4024A">
      <w:rPr>
        <w:rFonts w:ascii="Calibri" w:eastAsia="Calibri" w:hAnsi="Calibri" w:cs="Times New Roman"/>
        <w:noProof/>
        <w:kern w:val="0"/>
        <w:sz w:val="20"/>
        <w:szCs w:val="20"/>
        <w14:ligatures w14:val="none"/>
      </w:rPr>
      <w:instrText xml:space="preserve"> INCLUDEPICTURE  "cid:image001.png@01DA7484.784F50E0" \* MERGEFORMATINET </w:instrText>
    </w:r>
    <w:r w:rsidR="00F4024A">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60pt;visibility:visible">
          <v:imagedata r:id="rId1" r:href="rId2"/>
        </v:shape>
      </w:pict>
    </w:r>
    <w:r w:rsidR="00000000">
      <w:rPr>
        <w:rFonts w:ascii="Calibri" w:eastAsia="Calibri" w:hAnsi="Calibri" w:cs="Times New Roman"/>
        <w:noProof/>
        <w:kern w:val="0"/>
        <w:sz w:val="20"/>
        <w:szCs w:val="20"/>
        <w14:ligatures w14:val="none"/>
      </w:rPr>
      <w:fldChar w:fldCharType="end"/>
    </w:r>
    <w:r w:rsidR="00F4024A">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50"/>
    <w:multiLevelType w:val="multilevel"/>
    <w:tmpl w:val="E8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683"/>
    <w:multiLevelType w:val="multilevel"/>
    <w:tmpl w:val="0DD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42583"/>
    <w:multiLevelType w:val="multilevel"/>
    <w:tmpl w:val="A3B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D5AC8"/>
    <w:multiLevelType w:val="multilevel"/>
    <w:tmpl w:val="C9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32C45"/>
    <w:multiLevelType w:val="multilevel"/>
    <w:tmpl w:val="35D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1058A"/>
    <w:multiLevelType w:val="multilevel"/>
    <w:tmpl w:val="763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87AE9"/>
    <w:multiLevelType w:val="multilevel"/>
    <w:tmpl w:val="1E0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61F9A"/>
    <w:multiLevelType w:val="multilevel"/>
    <w:tmpl w:val="426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7432E"/>
    <w:multiLevelType w:val="multilevel"/>
    <w:tmpl w:val="16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CE060E"/>
    <w:multiLevelType w:val="hybridMultilevel"/>
    <w:tmpl w:val="DC08D49E"/>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321382"/>
    <w:multiLevelType w:val="multilevel"/>
    <w:tmpl w:val="42B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250E1"/>
    <w:multiLevelType w:val="multilevel"/>
    <w:tmpl w:val="2FFA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94836"/>
    <w:multiLevelType w:val="multilevel"/>
    <w:tmpl w:val="0452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A7DCE"/>
    <w:multiLevelType w:val="multilevel"/>
    <w:tmpl w:val="4B7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A57C5"/>
    <w:multiLevelType w:val="multilevel"/>
    <w:tmpl w:val="DB1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97EED"/>
    <w:multiLevelType w:val="multilevel"/>
    <w:tmpl w:val="23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93083"/>
    <w:multiLevelType w:val="multilevel"/>
    <w:tmpl w:val="B2E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20E49"/>
    <w:multiLevelType w:val="multilevel"/>
    <w:tmpl w:val="95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774DC5"/>
    <w:multiLevelType w:val="multilevel"/>
    <w:tmpl w:val="88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FA1D4B"/>
    <w:multiLevelType w:val="multilevel"/>
    <w:tmpl w:val="EEC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5C1B47"/>
    <w:multiLevelType w:val="multilevel"/>
    <w:tmpl w:val="5C6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C030B9"/>
    <w:multiLevelType w:val="multilevel"/>
    <w:tmpl w:val="AD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4C5D53"/>
    <w:multiLevelType w:val="multilevel"/>
    <w:tmpl w:val="F1A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021E30"/>
    <w:multiLevelType w:val="multilevel"/>
    <w:tmpl w:val="A2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5D00A4"/>
    <w:multiLevelType w:val="multilevel"/>
    <w:tmpl w:val="8DD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75C11"/>
    <w:multiLevelType w:val="multilevel"/>
    <w:tmpl w:val="86B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825657"/>
    <w:multiLevelType w:val="multilevel"/>
    <w:tmpl w:val="42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C83996"/>
    <w:multiLevelType w:val="multilevel"/>
    <w:tmpl w:val="C90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2D72B3"/>
    <w:multiLevelType w:val="multilevel"/>
    <w:tmpl w:val="279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6A2168"/>
    <w:multiLevelType w:val="multilevel"/>
    <w:tmpl w:val="9FE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992843"/>
    <w:multiLevelType w:val="multilevel"/>
    <w:tmpl w:val="740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14571E"/>
    <w:multiLevelType w:val="multilevel"/>
    <w:tmpl w:val="A6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2A032F"/>
    <w:multiLevelType w:val="multilevel"/>
    <w:tmpl w:val="A00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A23068"/>
    <w:multiLevelType w:val="multilevel"/>
    <w:tmpl w:val="783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2"/>
  </w:num>
  <w:num w:numId="2" w16cid:durableId="1213811931">
    <w:abstractNumId w:val="31"/>
  </w:num>
  <w:num w:numId="3" w16cid:durableId="455222665">
    <w:abstractNumId w:val="26"/>
  </w:num>
  <w:num w:numId="4" w16cid:durableId="2017147699">
    <w:abstractNumId w:val="38"/>
  </w:num>
  <w:num w:numId="5" w16cid:durableId="810951206">
    <w:abstractNumId w:val="32"/>
  </w:num>
  <w:num w:numId="6" w16cid:durableId="860361570">
    <w:abstractNumId w:val="40"/>
  </w:num>
  <w:num w:numId="7" w16cid:durableId="221138008">
    <w:abstractNumId w:val="33"/>
  </w:num>
  <w:num w:numId="8" w16cid:durableId="1442410410">
    <w:abstractNumId w:val="16"/>
  </w:num>
  <w:num w:numId="9" w16cid:durableId="217860266">
    <w:abstractNumId w:val="8"/>
  </w:num>
  <w:num w:numId="10" w16cid:durableId="1764454325">
    <w:abstractNumId w:val="44"/>
  </w:num>
  <w:num w:numId="11" w16cid:durableId="736435546">
    <w:abstractNumId w:val="28"/>
  </w:num>
  <w:num w:numId="12" w16cid:durableId="1406804154">
    <w:abstractNumId w:val="2"/>
  </w:num>
  <w:num w:numId="13" w16cid:durableId="1233615674">
    <w:abstractNumId w:val="54"/>
  </w:num>
  <w:num w:numId="14" w16cid:durableId="2031836469">
    <w:abstractNumId w:val="20"/>
  </w:num>
  <w:num w:numId="15" w16cid:durableId="454981011">
    <w:abstractNumId w:val="10"/>
  </w:num>
  <w:num w:numId="16" w16cid:durableId="534469745">
    <w:abstractNumId w:val="37"/>
  </w:num>
  <w:num w:numId="17" w16cid:durableId="1271355562">
    <w:abstractNumId w:val="14"/>
  </w:num>
  <w:num w:numId="18" w16cid:durableId="160001468">
    <w:abstractNumId w:val="35"/>
  </w:num>
  <w:num w:numId="19" w16cid:durableId="1918203768">
    <w:abstractNumId w:val="7"/>
  </w:num>
  <w:num w:numId="20" w16cid:durableId="748574694">
    <w:abstractNumId w:val="50"/>
  </w:num>
  <w:num w:numId="21" w16cid:durableId="1551653049">
    <w:abstractNumId w:val="49"/>
  </w:num>
  <w:num w:numId="22" w16cid:durableId="591276517">
    <w:abstractNumId w:val="3"/>
  </w:num>
  <w:num w:numId="23" w16cid:durableId="952709750">
    <w:abstractNumId w:val="56"/>
  </w:num>
  <w:num w:numId="24" w16cid:durableId="1160270667">
    <w:abstractNumId w:val="12"/>
  </w:num>
  <w:num w:numId="25" w16cid:durableId="562908705">
    <w:abstractNumId w:val="43"/>
  </w:num>
  <w:num w:numId="26" w16cid:durableId="361634083">
    <w:abstractNumId w:val="53"/>
  </w:num>
  <w:num w:numId="27" w16cid:durableId="1084690793">
    <w:abstractNumId w:val="6"/>
  </w:num>
  <w:num w:numId="28" w16cid:durableId="2025132789">
    <w:abstractNumId w:val="11"/>
  </w:num>
  <w:num w:numId="29" w16cid:durableId="724833186">
    <w:abstractNumId w:val="55"/>
  </w:num>
  <w:num w:numId="30" w16cid:durableId="3476672">
    <w:abstractNumId w:val="46"/>
  </w:num>
  <w:num w:numId="31" w16cid:durableId="1108624326">
    <w:abstractNumId w:val="39"/>
  </w:num>
  <w:num w:numId="32" w16cid:durableId="1081023142">
    <w:abstractNumId w:val="34"/>
  </w:num>
  <w:num w:numId="33" w16cid:durableId="300842061">
    <w:abstractNumId w:val="5"/>
  </w:num>
  <w:num w:numId="34" w16cid:durableId="1613168938">
    <w:abstractNumId w:val="48"/>
  </w:num>
  <w:num w:numId="35" w16cid:durableId="190387632">
    <w:abstractNumId w:val="41"/>
  </w:num>
  <w:num w:numId="36" w16cid:durableId="997810670">
    <w:abstractNumId w:val="24"/>
  </w:num>
  <w:num w:numId="37" w16cid:durableId="918171111">
    <w:abstractNumId w:val="19"/>
  </w:num>
  <w:num w:numId="38" w16cid:durableId="1549998275">
    <w:abstractNumId w:val="25"/>
  </w:num>
  <w:num w:numId="39" w16cid:durableId="906917393">
    <w:abstractNumId w:val="21"/>
  </w:num>
  <w:num w:numId="40" w16cid:durableId="2042975932">
    <w:abstractNumId w:val="18"/>
  </w:num>
  <w:num w:numId="41" w16cid:durableId="1324897799">
    <w:abstractNumId w:val="9"/>
  </w:num>
  <w:num w:numId="42" w16cid:durableId="80420048">
    <w:abstractNumId w:val="13"/>
  </w:num>
  <w:num w:numId="43" w16cid:durableId="697316455">
    <w:abstractNumId w:val="0"/>
  </w:num>
  <w:num w:numId="44" w16cid:durableId="1513912034">
    <w:abstractNumId w:val="45"/>
  </w:num>
  <w:num w:numId="45" w16cid:durableId="1611088222">
    <w:abstractNumId w:val="4"/>
  </w:num>
  <w:num w:numId="46" w16cid:durableId="951322508">
    <w:abstractNumId w:val="27"/>
  </w:num>
  <w:num w:numId="47" w16cid:durableId="427433955">
    <w:abstractNumId w:val="30"/>
  </w:num>
  <w:num w:numId="48" w16cid:durableId="656037332">
    <w:abstractNumId w:val="57"/>
  </w:num>
  <w:num w:numId="49" w16cid:durableId="153300590">
    <w:abstractNumId w:val="52"/>
  </w:num>
  <w:num w:numId="50" w16cid:durableId="945116884">
    <w:abstractNumId w:val="47"/>
  </w:num>
  <w:num w:numId="51" w16cid:durableId="1832603878">
    <w:abstractNumId w:val="42"/>
  </w:num>
  <w:num w:numId="52" w16cid:durableId="2038576091">
    <w:abstractNumId w:val="17"/>
  </w:num>
  <w:num w:numId="53" w16cid:durableId="654262908">
    <w:abstractNumId w:val="51"/>
  </w:num>
  <w:num w:numId="54" w16cid:durableId="14428496">
    <w:abstractNumId w:val="29"/>
  </w:num>
  <w:num w:numId="55" w16cid:durableId="328367364">
    <w:abstractNumId w:val="15"/>
  </w:num>
  <w:num w:numId="56" w16cid:durableId="1877814671">
    <w:abstractNumId w:val="36"/>
  </w:num>
  <w:num w:numId="57" w16cid:durableId="2072996755">
    <w:abstractNumId w:val="1"/>
  </w:num>
  <w:num w:numId="58" w16cid:durableId="9251127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55B9C"/>
    <w:rsid w:val="00065858"/>
    <w:rsid w:val="000967A8"/>
    <w:rsid w:val="000D7EBC"/>
    <w:rsid w:val="001465A0"/>
    <w:rsid w:val="00194366"/>
    <w:rsid w:val="001A2788"/>
    <w:rsid w:val="001B5056"/>
    <w:rsid w:val="001F23CD"/>
    <w:rsid w:val="00210B1A"/>
    <w:rsid w:val="00281A9B"/>
    <w:rsid w:val="00296F47"/>
    <w:rsid w:val="002A1951"/>
    <w:rsid w:val="002B62AA"/>
    <w:rsid w:val="00310A64"/>
    <w:rsid w:val="00317246"/>
    <w:rsid w:val="00334927"/>
    <w:rsid w:val="00401C97"/>
    <w:rsid w:val="00411B3C"/>
    <w:rsid w:val="00412B11"/>
    <w:rsid w:val="004C318A"/>
    <w:rsid w:val="005416B6"/>
    <w:rsid w:val="00541B6A"/>
    <w:rsid w:val="005632AD"/>
    <w:rsid w:val="00564FE4"/>
    <w:rsid w:val="00567569"/>
    <w:rsid w:val="00593389"/>
    <w:rsid w:val="005E3B93"/>
    <w:rsid w:val="005F4B6E"/>
    <w:rsid w:val="005F6A80"/>
    <w:rsid w:val="00613B27"/>
    <w:rsid w:val="00673650"/>
    <w:rsid w:val="00686A13"/>
    <w:rsid w:val="006B135F"/>
    <w:rsid w:val="006B5C55"/>
    <w:rsid w:val="006E5BAD"/>
    <w:rsid w:val="00712271"/>
    <w:rsid w:val="00712B70"/>
    <w:rsid w:val="007205BE"/>
    <w:rsid w:val="007A4F2C"/>
    <w:rsid w:val="007A5564"/>
    <w:rsid w:val="007B4A8B"/>
    <w:rsid w:val="007D24CA"/>
    <w:rsid w:val="00807DB4"/>
    <w:rsid w:val="0083555F"/>
    <w:rsid w:val="008972FF"/>
    <w:rsid w:val="00904CDC"/>
    <w:rsid w:val="00914F03"/>
    <w:rsid w:val="0093331A"/>
    <w:rsid w:val="00937469"/>
    <w:rsid w:val="00965A5F"/>
    <w:rsid w:val="00983CF3"/>
    <w:rsid w:val="009D6D51"/>
    <w:rsid w:val="00A05D04"/>
    <w:rsid w:val="00A163DC"/>
    <w:rsid w:val="00A1753A"/>
    <w:rsid w:val="00A20133"/>
    <w:rsid w:val="00A20C1D"/>
    <w:rsid w:val="00AA2C7F"/>
    <w:rsid w:val="00AC3F82"/>
    <w:rsid w:val="00B43E77"/>
    <w:rsid w:val="00B457D8"/>
    <w:rsid w:val="00B45FA0"/>
    <w:rsid w:val="00B52A4B"/>
    <w:rsid w:val="00B90A25"/>
    <w:rsid w:val="00B9502F"/>
    <w:rsid w:val="00C1573D"/>
    <w:rsid w:val="00C55AB1"/>
    <w:rsid w:val="00CA5809"/>
    <w:rsid w:val="00CA7F21"/>
    <w:rsid w:val="00CF17D5"/>
    <w:rsid w:val="00D44158"/>
    <w:rsid w:val="00DB28A4"/>
    <w:rsid w:val="00DB6DB0"/>
    <w:rsid w:val="00E033DD"/>
    <w:rsid w:val="00E12102"/>
    <w:rsid w:val="00E21851"/>
    <w:rsid w:val="00E76143"/>
    <w:rsid w:val="00E96FD6"/>
    <w:rsid w:val="00EC32DF"/>
    <w:rsid w:val="00F4024A"/>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522</Words>
  <Characters>3137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44</cp:revision>
  <cp:lastPrinted>2025-02-04T09:35:00Z</cp:lastPrinted>
  <dcterms:created xsi:type="dcterms:W3CDTF">2025-02-03T09:41:00Z</dcterms:created>
  <dcterms:modified xsi:type="dcterms:W3CDTF">2025-11-07T07:49:00Z</dcterms:modified>
</cp:coreProperties>
</file>